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37" w:rsidRPr="003C0AAF" w:rsidRDefault="004D6B37" w:rsidP="004D6B37">
      <w:pPr>
        <w:jc w:val="center"/>
        <w:rPr>
          <w:b/>
          <w:sz w:val="32"/>
          <w:szCs w:val="32"/>
          <w:lang w:val="lv-LV"/>
        </w:rPr>
      </w:pPr>
      <w:r w:rsidRPr="003C0AAF">
        <w:rPr>
          <w:noProof/>
          <w:lang w:val="lv-LV" w:eastAsia="lv-LV"/>
        </w:rPr>
        <w:drawing>
          <wp:inline distT="0" distB="0" distL="0" distR="0" wp14:anchorId="3373E9DC" wp14:editId="00DF630F">
            <wp:extent cx="53435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952500"/>
                    </a:xfrm>
                    <a:prstGeom prst="rect">
                      <a:avLst/>
                    </a:prstGeom>
                    <a:noFill/>
                    <a:ln>
                      <a:noFill/>
                    </a:ln>
                  </pic:spPr>
                </pic:pic>
              </a:graphicData>
            </a:graphic>
          </wp:inline>
        </w:drawing>
      </w:r>
    </w:p>
    <w:p w:rsidR="004D6B37" w:rsidRPr="003C0AAF" w:rsidRDefault="004D6B37" w:rsidP="00690CF8">
      <w:pPr>
        <w:rPr>
          <w:b/>
          <w:bCs/>
          <w:lang w:val="lv-LV"/>
        </w:rPr>
      </w:pPr>
    </w:p>
    <w:p w:rsidR="006C766C" w:rsidRDefault="000D4A42" w:rsidP="00DD2B11">
      <w:pPr>
        <w:jc w:val="center"/>
        <w:rPr>
          <w:lang w:val="lv-LV"/>
        </w:rPr>
      </w:pPr>
      <w:r w:rsidRPr="003C0AAF">
        <w:rPr>
          <w:lang w:val="lv-LV"/>
        </w:rPr>
        <w:t xml:space="preserve">Eiropas Sociālā fonda projekta Nr.9.2.6.0/17/1/001 </w:t>
      </w:r>
    </w:p>
    <w:p w:rsidR="00F84FAE" w:rsidRDefault="000D4A42" w:rsidP="00DD2B11">
      <w:pPr>
        <w:jc w:val="center"/>
        <w:rPr>
          <w:lang w:val="lv-LV"/>
        </w:rPr>
      </w:pPr>
      <w:r w:rsidRPr="003C0AAF">
        <w:rPr>
          <w:lang w:val="lv-LV"/>
        </w:rPr>
        <w:t>“Ārstniecības un ārstniecības atbalsta personāla kvalifikācijas uzlabošana”</w:t>
      </w:r>
    </w:p>
    <w:p w:rsidR="006C766C" w:rsidRPr="003C0AAF" w:rsidRDefault="006C766C" w:rsidP="00DD2B11">
      <w:pPr>
        <w:jc w:val="center"/>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6237"/>
      </w:tblGrid>
      <w:tr w:rsidR="004D6B37" w:rsidRPr="004555CF" w:rsidTr="00586F10">
        <w:tc>
          <w:tcPr>
            <w:tcW w:w="1761" w:type="pct"/>
            <w:vAlign w:val="center"/>
          </w:tcPr>
          <w:p w:rsidR="00452D28" w:rsidRPr="004555CF" w:rsidRDefault="004D6B37" w:rsidP="006C766C">
            <w:pPr>
              <w:rPr>
                <w:sz w:val="22"/>
                <w:szCs w:val="22"/>
                <w:lang w:val="lv-LV"/>
              </w:rPr>
            </w:pPr>
            <w:r w:rsidRPr="004555CF">
              <w:rPr>
                <w:sz w:val="22"/>
                <w:szCs w:val="22"/>
                <w:lang w:val="lv-LV"/>
              </w:rPr>
              <w:t>Profesionālās izglītības programmas veids</w:t>
            </w:r>
          </w:p>
        </w:tc>
        <w:tc>
          <w:tcPr>
            <w:tcW w:w="3239" w:type="pct"/>
            <w:vAlign w:val="center"/>
          </w:tcPr>
          <w:p w:rsidR="004D6B37" w:rsidRPr="004555CF" w:rsidRDefault="004D6B37" w:rsidP="006C766C">
            <w:pPr>
              <w:rPr>
                <w:sz w:val="22"/>
                <w:szCs w:val="22"/>
                <w:lang w:val="lv-LV"/>
              </w:rPr>
            </w:pPr>
            <w:r w:rsidRPr="004555CF">
              <w:rPr>
                <w:sz w:val="22"/>
                <w:szCs w:val="22"/>
                <w:lang w:val="lv-LV"/>
              </w:rPr>
              <w:t>Neformālās izglītības programma</w:t>
            </w:r>
          </w:p>
        </w:tc>
      </w:tr>
      <w:tr w:rsidR="004D6B37" w:rsidRPr="00EB0078" w:rsidTr="004555CF">
        <w:trPr>
          <w:trHeight w:val="849"/>
        </w:trPr>
        <w:tc>
          <w:tcPr>
            <w:tcW w:w="1761" w:type="pct"/>
            <w:vAlign w:val="center"/>
          </w:tcPr>
          <w:p w:rsidR="004D6B37" w:rsidRPr="004555CF" w:rsidRDefault="004D6B37" w:rsidP="006C766C">
            <w:pPr>
              <w:rPr>
                <w:sz w:val="22"/>
                <w:szCs w:val="22"/>
                <w:lang w:val="lv-LV"/>
              </w:rPr>
            </w:pPr>
            <w:r w:rsidRPr="004555CF">
              <w:rPr>
                <w:sz w:val="22"/>
                <w:szCs w:val="22"/>
                <w:lang w:val="lv-LV"/>
              </w:rPr>
              <w:t>Neformālās izglītības programmas nosaukums</w:t>
            </w:r>
          </w:p>
        </w:tc>
        <w:tc>
          <w:tcPr>
            <w:tcW w:w="3239" w:type="pct"/>
            <w:vAlign w:val="center"/>
          </w:tcPr>
          <w:p w:rsidR="00FF1346" w:rsidRPr="004555CF" w:rsidRDefault="008E17A0" w:rsidP="006C766C">
            <w:pPr>
              <w:rPr>
                <w:b/>
                <w:bCs/>
                <w:iCs/>
                <w:sz w:val="28"/>
                <w:szCs w:val="22"/>
                <w:lang w:val="lv-LV"/>
              </w:rPr>
            </w:pPr>
            <w:r w:rsidRPr="008E17A0">
              <w:rPr>
                <w:b/>
                <w:bCs/>
                <w:iCs/>
                <w:sz w:val="28"/>
                <w:szCs w:val="22"/>
                <w:lang w:val="lv-LV"/>
              </w:rPr>
              <w:t>Aktuālie procesi drošai zāļu apritei stacionārajās iestādēs</w:t>
            </w:r>
          </w:p>
        </w:tc>
      </w:tr>
      <w:tr w:rsidR="004D6B37" w:rsidRPr="00EB0078" w:rsidTr="00586F10">
        <w:tc>
          <w:tcPr>
            <w:tcW w:w="1761" w:type="pct"/>
            <w:vAlign w:val="center"/>
          </w:tcPr>
          <w:p w:rsidR="004D6B37" w:rsidRPr="004555CF" w:rsidRDefault="004D6B37" w:rsidP="006C766C">
            <w:pPr>
              <w:rPr>
                <w:sz w:val="22"/>
                <w:szCs w:val="22"/>
                <w:lang w:val="lv-LV"/>
              </w:rPr>
            </w:pPr>
            <w:r w:rsidRPr="004555CF">
              <w:rPr>
                <w:sz w:val="22"/>
                <w:szCs w:val="22"/>
                <w:lang w:val="lv-LV"/>
              </w:rPr>
              <w:t>Mērķauditorija</w:t>
            </w:r>
          </w:p>
          <w:p w:rsidR="006C766C" w:rsidRPr="004555CF" w:rsidRDefault="006C766C" w:rsidP="006C766C">
            <w:pPr>
              <w:rPr>
                <w:sz w:val="22"/>
                <w:szCs w:val="22"/>
                <w:lang w:val="lv-LV"/>
              </w:rPr>
            </w:pPr>
          </w:p>
        </w:tc>
        <w:tc>
          <w:tcPr>
            <w:tcW w:w="3239" w:type="pct"/>
            <w:vAlign w:val="center"/>
          </w:tcPr>
          <w:p w:rsidR="003C0AAF" w:rsidRPr="00562E67" w:rsidRDefault="008E17A0" w:rsidP="006C766C">
            <w:pPr>
              <w:rPr>
                <w:bCs/>
                <w:sz w:val="22"/>
                <w:szCs w:val="22"/>
                <w:lang w:val="lv-LV"/>
              </w:rPr>
            </w:pPr>
            <w:r w:rsidRPr="00562E67">
              <w:rPr>
                <w:bCs/>
                <w:sz w:val="22"/>
                <w:szCs w:val="22"/>
                <w:lang w:val="lv-LV"/>
              </w:rPr>
              <w:t>Farmaceiti un farmaceita asistenti, kuri darbojas slēgta tipa aptiekās un māsas, kuras ārstniecība</w:t>
            </w:r>
            <w:bookmarkStart w:id="0" w:name="_GoBack"/>
            <w:bookmarkEnd w:id="0"/>
            <w:r w:rsidRPr="00562E67">
              <w:rPr>
                <w:bCs/>
                <w:sz w:val="22"/>
                <w:szCs w:val="22"/>
                <w:lang w:val="lv-LV"/>
              </w:rPr>
              <w:t>s iestādēs un sociālās aprūpes centros atbild par zāļu apriti</w:t>
            </w:r>
          </w:p>
        </w:tc>
      </w:tr>
      <w:tr w:rsidR="004D6B37" w:rsidRPr="004555CF" w:rsidTr="00586F10">
        <w:trPr>
          <w:trHeight w:val="795"/>
        </w:trPr>
        <w:tc>
          <w:tcPr>
            <w:tcW w:w="1761" w:type="pct"/>
            <w:vAlign w:val="center"/>
          </w:tcPr>
          <w:p w:rsidR="004D6B37" w:rsidRPr="004555CF" w:rsidRDefault="004D6B37" w:rsidP="006C766C">
            <w:pPr>
              <w:rPr>
                <w:sz w:val="22"/>
                <w:szCs w:val="22"/>
                <w:lang w:val="lv-LV"/>
              </w:rPr>
            </w:pPr>
            <w:r w:rsidRPr="004555CF">
              <w:rPr>
                <w:sz w:val="22"/>
                <w:szCs w:val="22"/>
                <w:lang w:val="lv-LV"/>
              </w:rPr>
              <w:t>Neformālās izglītības programmas īstenošanas ilgums</w:t>
            </w:r>
          </w:p>
        </w:tc>
        <w:tc>
          <w:tcPr>
            <w:tcW w:w="3239" w:type="pct"/>
            <w:vAlign w:val="center"/>
          </w:tcPr>
          <w:p w:rsidR="00A603D1" w:rsidRPr="004555CF" w:rsidRDefault="008E17A0" w:rsidP="006C766C">
            <w:pPr>
              <w:rPr>
                <w:b/>
                <w:sz w:val="22"/>
                <w:szCs w:val="22"/>
                <w:lang w:val="lv-LV"/>
              </w:rPr>
            </w:pPr>
            <w:r>
              <w:rPr>
                <w:b/>
                <w:sz w:val="22"/>
                <w:szCs w:val="22"/>
                <w:lang w:val="lv-LV"/>
              </w:rPr>
              <w:t>32</w:t>
            </w:r>
            <w:r w:rsidR="00C45212" w:rsidRPr="004555CF">
              <w:rPr>
                <w:b/>
                <w:sz w:val="22"/>
                <w:szCs w:val="22"/>
                <w:lang w:val="lv-LV"/>
              </w:rPr>
              <w:t xml:space="preserve"> </w:t>
            </w:r>
            <w:r w:rsidR="004D6B37" w:rsidRPr="004555CF">
              <w:rPr>
                <w:b/>
                <w:sz w:val="22"/>
                <w:szCs w:val="22"/>
                <w:lang w:val="lv-LV"/>
              </w:rPr>
              <w:t>akadēmiskās stundas</w:t>
            </w:r>
            <w:r>
              <w:rPr>
                <w:b/>
                <w:sz w:val="22"/>
                <w:szCs w:val="22"/>
                <w:lang w:val="lv-LV"/>
              </w:rPr>
              <w:t xml:space="preserve"> (4</w:t>
            </w:r>
            <w:r w:rsidR="008D4B37" w:rsidRPr="004555CF">
              <w:rPr>
                <w:b/>
                <w:sz w:val="22"/>
                <w:szCs w:val="22"/>
                <w:lang w:val="lv-LV"/>
              </w:rPr>
              <w:t xml:space="preserve"> diena</w:t>
            </w:r>
            <w:r>
              <w:rPr>
                <w:b/>
                <w:sz w:val="22"/>
                <w:szCs w:val="22"/>
                <w:lang w:val="lv-LV"/>
              </w:rPr>
              <w:t>s</w:t>
            </w:r>
            <w:r w:rsidR="004D6B37" w:rsidRPr="004555CF">
              <w:rPr>
                <w:b/>
                <w:sz w:val="22"/>
                <w:szCs w:val="22"/>
                <w:lang w:val="lv-LV"/>
              </w:rPr>
              <w:t>)</w:t>
            </w:r>
          </w:p>
          <w:p w:rsidR="009B0D85" w:rsidRPr="004555CF" w:rsidRDefault="008E17A0" w:rsidP="006C766C">
            <w:pPr>
              <w:pStyle w:val="ListParagraph"/>
              <w:numPr>
                <w:ilvl w:val="0"/>
                <w:numId w:val="15"/>
              </w:numPr>
              <w:rPr>
                <w:sz w:val="22"/>
                <w:szCs w:val="22"/>
              </w:rPr>
            </w:pPr>
            <w:r>
              <w:rPr>
                <w:sz w:val="22"/>
                <w:szCs w:val="22"/>
              </w:rPr>
              <w:t>19</w:t>
            </w:r>
            <w:r w:rsidR="009B0D85" w:rsidRPr="004555CF">
              <w:rPr>
                <w:sz w:val="22"/>
                <w:szCs w:val="22"/>
              </w:rPr>
              <w:t xml:space="preserve"> akadēmiskās stundas teorētiskās nodarbības</w:t>
            </w:r>
          </w:p>
          <w:p w:rsidR="00C45212" w:rsidRPr="004555CF" w:rsidRDefault="008E17A0" w:rsidP="006C766C">
            <w:pPr>
              <w:pStyle w:val="ListParagraph"/>
              <w:numPr>
                <w:ilvl w:val="0"/>
                <w:numId w:val="15"/>
              </w:numPr>
              <w:rPr>
                <w:sz w:val="22"/>
                <w:szCs w:val="22"/>
              </w:rPr>
            </w:pPr>
            <w:r>
              <w:rPr>
                <w:sz w:val="22"/>
                <w:szCs w:val="22"/>
              </w:rPr>
              <w:t>13</w:t>
            </w:r>
            <w:r w:rsidR="00C45212" w:rsidRPr="004555CF">
              <w:rPr>
                <w:sz w:val="22"/>
                <w:szCs w:val="22"/>
              </w:rPr>
              <w:t xml:space="preserve"> akadēmiskās stundas  praktiskās nodarbības</w:t>
            </w:r>
          </w:p>
        </w:tc>
      </w:tr>
      <w:tr w:rsidR="00801ACD" w:rsidRPr="00924523" w:rsidTr="00722622">
        <w:trPr>
          <w:trHeight w:val="781"/>
        </w:trPr>
        <w:tc>
          <w:tcPr>
            <w:tcW w:w="1761" w:type="pct"/>
            <w:vAlign w:val="center"/>
          </w:tcPr>
          <w:p w:rsidR="00801ACD" w:rsidRPr="004555CF" w:rsidRDefault="00801ACD" w:rsidP="00801ACD">
            <w:pPr>
              <w:rPr>
                <w:sz w:val="22"/>
                <w:szCs w:val="22"/>
                <w:lang w:val="lv-LV"/>
              </w:rPr>
            </w:pPr>
            <w:r w:rsidRPr="004555CF">
              <w:rPr>
                <w:sz w:val="22"/>
                <w:szCs w:val="22"/>
                <w:lang w:val="lv-LV"/>
              </w:rPr>
              <w:t>Neformālās izglītības programmas mācību norises vieta un laiks</w:t>
            </w:r>
          </w:p>
        </w:tc>
        <w:tc>
          <w:tcPr>
            <w:tcW w:w="3239" w:type="pct"/>
            <w:vAlign w:val="center"/>
          </w:tcPr>
          <w:p w:rsidR="00801ACD" w:rsidRDefault="00801ACD" w:rsidP="00801ACD">
            <w:pPr>
              <w:rPr>
                <w:sz w:val="22"/>
                <w:szCs w:val="22"/>
                <w:lang w:val="lv-LV"/>
              </w:rPr>
            </w:pPr>
            <w:r w:rsidRPr="00EC66CF">
              <w:rPr>
                <w:sz w:val="22"/>
                <w:szCs w:val="22"/>
                <w:lang w:val="lv-LV"/>
              </w:rPr>
              <w:t>Rīgas Stradiņa universitāte</w:t>
            </w:r>
            <w:r>
              <w:rPr>
                <w:sz w:val="22"/>
                <w:szCs w:val="22"/>
                <w:lang w:val="lv-LV"/>
              </w:rPr>
              <w:t>, Rīga, Dzirciema iela 16</w:t>
            </w:r>
          </w:p>
          <w:p w:rsidR="00801ACD" w:rsidRPr="00EC66CF" w:rsidRDefault="00801ACD" w:rsidP="00924523">
            <w:pPr>
              <w:rPr>
                <w:color w:val="000000" w:themeColor="text1"/>
                <w:sz w:val="22"/>
                <w:szCs w:val="22"/>
                <w:lang w:val="lv-LV"/>
              </w:rPr>
            </w:pPr>
            <w:r w:rsidRPr="00EC66CF">
              <w:rPr>
                <w:color w:val="000000" w:themeColor="text1"/>
                <w:sz w:val="22"/>
                <w:szCs w:val="22"/>
                <w:lang w:val="lv-LV"/>
              </w:rPr>
              <w:t xml:space="preserve">2020.gada </w:t>
            </w:r>
            <w:r w:rsidR="00924523">
              <w:rPr>
                <w:b/>
                <w:color w:val="000000" w:themeColor="text1"/>
                <w:sz w:val="28"/>
                <w:szCs w:val="22"/>
                <w:lang w:val="lv-LV"/>
              </w:rPr>
              <w:t>7., 10., 21. un 24.oktobris</w:t>
            </w:r>
          </w:p>
        </w:tc>
      </w:tr>
      <w:tr w:rsidR="007B0EA7" w:rsidRPr="00924523" w:rsidTr="00586F10">
        <w:trPr>
          <w:trHeight w:val="697"/>
        </w:trPr>
        <w:tc>
          <w:tcPr>
            <w:tcW w:w="1761" w:type="pct"/>
            <w:vAlign w:val="center"/>
          </w:tcPr>
          <w:p w:rsidR="007B0EA7" w:rsidRPr="004555CF" w:rsidRDefault="007B0EA7" w:rsidP="006C766C">
            <w:pPr>
              <w:rPr>
                <w:sz w:val="22"/>
                <w:szCs w:val="22"/>
                <w:lang w:val="lv-LV"/>
              </w:rPr>
            </w:pPr>
            <w:r w:rsidRPr="004555CF">
              <w:rPr>
                <w:sz w:val="22"/>
                <w:szCs w:val="22"/>
                <w:lang w:val="lv-LV"/>
              </w:rPr>
              <w:t>Neformālās izglītības programmas mācību vadītājs/i</w:t>
            </w:r>
          </w:p>
        </w:tc>
        <w:tc>
          <w:tcPr>
            <w:tcW w:w="3239" w:type="pct"/>
            <w:vAlign w:val="center"/>
          </w:tcPr>
          <w:p w:rsidR="00A603D1" w:rsidRPr="004555CF" w:rsidRDefault="004555CF" w:rsidP="004555CF">
            <w:pPr>
              <w:rPr>
                <w:sz w:val="22"/>
                <w:szCs w:val="22"/>
                <w:lang w:val="lv-LV"/>
              </w:rPr>
            </w:pPr>
            <w:r>
              <w:rPr>
                <w:sz w:val="22"/>
                <w:szCs w:val="22"/>
                <w:lang w:val="lv-LV"/>
              </w:rPr>
              <w:t xml:space="preserve">Rīgas Stradiņa universitāte, </w:t>
            </w:r>
            <w:r w:rsidR="00722622" w:rsidRPr="00722622">
              <w:rPr>
                <w:sz w:val="22"/>
                <w:szCs w:val="22"/>
                <w:lang w:val="lv-LV"/>
              </w:rPr>
              <w:t>Inga Gūtmane</w:t>
            </w:r>
          </w:p>
        </w:tc>
      </w:tr>
      <w:tr w:rsidR="007B0EA7" w:rsidRPr="008E17A0" w:rsidTr="00586F10">
        <w:tc>
          <w:tcPr>
            <w:tcW w:w="1761" w:type="pct"/>
            <w:vAlign w:val="center"/>
          </w:tcPr>
          <w:p w:rsidR="007B0EA7" w:rsidRPr="004555CF" w:rsidRDefault="007B0EA7" w:rsidP="006C766C">
            <w:pPr>
              <w:rPr>
                <w:sz w:val="22"/>
                <w:szCs w:val="22"/>
                <w:lang w:val="lv-LV"/>
              </w:rPr>
            </w:pPr>
            <w:r w:rsidRPr="004555CF">
              <w:rPr>
                <w:sz w:val="22"/>
                <w:szCs w:val="22"/>
                <w:lang w:val="lv-LV"/>
              </w:rPr>
              <w:t>Izglītības dokuments, kas apliecina neformālās izglītības programmas apgūšanu</w:t>
            </w:r>
          </w:p>
        </w:tc>
        <w:tc>
          <w:tcPr>
            <w:tcW w:w="3239" w:type="pct"/>
            <w:vAlign w:val="center"/>
          </w:tcPr>
          <w:p w:rsidR="007B0EA7" w:rsidRPr="004555CF" w:rsidRDefault="007B0EA7" w:rsidP="006C766C">
            <w:pPr>
              <w:rPr>
                <w:sz w:val="22"/>
                <w:szCs w:val="22"/>
                <w:lang w:val="lv-LV"/>
              </w:rPr>
            </w:pPr>
            <w:r w:rsidRPr="004555CF">
              <w:rPr>
                <w:sz w:val="22"/>
                <w:szCs w:val="22"/>
                <w:lang w:val="lv-LV"/>
              </w:rPr>
              <w:t>Apliecība par neformālās izglītības programmas apguvi</w:t>
            </w:r>
          </w:p>
          <w:p w:rsidR="008E17A0" w:rsidRDefault="007B0EA7" w:rsidP="00C871A9">
            <w:pPr>
              <w:ind w:right="-23"/>
              <w:rPr>
                <w:sz w:val="22"/>
                <w:szCs w:val="22"/>
                <w:lang w:val="lv-LV"/>
              </w:rPr>
            </w:pPr>
            <w:r w:rsidRPr="004555CF">
              <w:rPr>
                <w:sz w:val="22"/>
                <w:szCs w:val="22"/>
                <w:lang w:val="lv-LV"/>
              </w:rPr>
              <w:t>Piešķirtais tālākizglītības punktu skaits</w:t>
            </w:r>
            <w:r w:rsidR="008E17A0">
              <w:rPr>
                <w:sz w:val="22"/>
                <w:szCs w:val="22"/>
                <w:lang w:val="lv-LV"/>
              </w:rPr>
              <w:t>:</w:t>
            </w:r>
          </w:p>
          <w:p w:rsidR="008E17A0" w:rsidRDefault="008E17A0" w:rsidP="008E17A0">
            <w:pPr>
              <w:pStyle w:val="ListParagraph"/>
              <w:numPr>
                <w:ilvl w:val="0"/>
                <w:numId w:val="20"/>
              </w:numPr>
              <w:ind w:right="-23"/>
              <w:rPr>
                <w:sz w:val="22"/>
                <w:szCs w:val="22"/>
              </w:rPr>
            </w:pPr>
            <w:r w:rsidRPr="008E17A0">
              <w:rPr>
                <w:sz w:val="22"/>
                <w:szCs w:val="22"/>
              </w:rPr>
              <w:t>Farm</w:t>
            </w:r>
            <w:r>
              <w:rPr>
                <w:sz w:val="22"/>
                <w:szCs w:val="22"/>
              </w:rPr>
              <w:t xml:space="preserve">aceitiem un farmaceita asistentiem: </w:t>
            </w:r>
            <w:r w:rsidRPr="008E17A0">
              <w:rPr>
                <w:sz w:val="22"/>
                <w:szCs w:val="22"/>
              </w:rPr>
              <w:t>4</w:t>
            </w:r>
            <w:r w:rsidR="009A7FA8">
              <w:rPr>
                <w:sz w:val="22"/>
                <w:szCs w:val="22"/>
              </w:rPr>
              <w:t>8</w:t>
            </w:r>
            <w:r w:rsidRPr="008E17A0">
              <w:rPr>
                <w:sz w:val="22"/>
                <w:szCs w:val="22"/>
              </w:rPr>
              <w:t xml:space="preserve"> moduļa tālākizglītības punkti</w:t>
            </w:r>
            <w:r>
              <w:rPr>
                <w:sz w:val="22"/>
                <w:szCs w:val="22"/>
              </w:rPr>
              <w:t xml:space="preserve"> </w:t>
            </w:r>
          </w:p>
          <w:p w:rsidR="007B0EA7" w:rsidRPr="008E17A0" w:rsidRDefault="008E17A0" w:rsidP="008E17A0">
            <w:pPr>
              <w:pStyle w:val="ListParagraph"/>
              <w:numPr>
                <w:ilvl w:val="0"/>
                <w:numId w:val="20"/>
              </w:numPr>
              <w:ind w:right="-23"/>
              <w:rPr>
                <w:sz w:val="22"/>
                <w:szCs w:val="22"/>
              </w:rPr>
            </w:pPr>
            <w:r>
              <w:rPr>
                <w:sz w:val="22"/>
                <w:szCs w:val="22"/>
              </w:rPr>
              <w:t>Māsām: 32 TIP</w:t>
            </w:r>
          </w:p>
        </w:tc>
      </w:tr>
      <w:tr w:rsidR="008E17A0" w:rsidRPr="00EB0078" w:rsidTr="00801ACD">
        <w:trPr>
          <w:trHeight w:val="1136"/>
        </w:trPr>
        <w:tc>
          <w:tcPr>
            <w:tcW w:w="1761" w:type="pct"/>
            <w:vAlign w:val="center"/>
          </w:tcPr>
          <w:p w:rsidR="008E17A0" w:rsidRPr="004555CF" w:rsidRDefault="008E17A0" w:rsidP="008E17A0">
            <w:pPr>
              <w:rPr>
                <w:sz w:val="22"/>
                <w:szCs w:val="22"/>
                <w:lang w:val="lv-LV"/>
              </w:rPr>
            </w:pPr>
            <w:r w:rsidRPr="004555CF">
              <w:rPr>
                <w:sz w:val="22"/>
                <w:szCs w:val="22"/>
                <w:lang w:val="lv-LV"/>
              </w:rPr>
              <w:t>Pieteikšanās kārtība un kontaktpersona/as</w:t>
            </w:r>
          </w:p>
        </w:tc>
        <w:tc>
          <w:tcPr>
            <w:tcW w:w="3239" w:type="pct"/>
            <w:vAlign w:val="center"/>
          </w:tcPr>
          <w:p w:rsidR="008E17A0" w:rsidRPr="005B0E3C" w:rsidRDefault="008E17A0" w:rsidP="008E17A0">
            <w:pPr>
              <w:pStyle w:val="BodyTextIndent"/>
              <w:ind w:firstLine="0"/>
              <w:jc w:val="left"/>
              <w:rPr>
                <w:color w:val="0000FF"/>
                <w:u w:val="single"/>
              </w:rPr>
            </w:pPr>
            <w:r w:rsidRPr="00EC66CF">
              <w:rPr>
                <w:rFonts w:ascii="Times New Roman" w:hAnsi="Times New Roman"/>
                <w:b/>
                <w:color w:val="000000" w:themeColor="text1"/>
                <w:sz w:val="22"/>
                <w:szCs w:val="22"/>
              </w:rPr>
              <w:t>Pieteikties uz kursiem</w:t>
            </w:r>
            <w:r w:rsidRPr="00EC66CF">
              <w:rPr>
                <w:rFonts w:ascii="Times New Roman" w:hAnsi="Times New Roman"/>
                <w:color w:val="000000" w:themeColor="text1"/>
                <w:sz w:val="22"/>
                <w:szCs w:val="22"/>
              </w:rPr>
              <w:t xml:space="preserve"> iespējams, </w:t>
            </w:r>
            <w:r w:rsidRPr="006C0B79">
              <w:rPr>
                <w:rFonts w:ascii="Times New Roman" w:hAnsi="Times New Roman"/>
                <w:color w:val="000000" w:themeColor="text1"/>
                <w:sz w:val="22"/>
                <w:szCs w:val="22"/>
              </w:rPr>
              <w:t>aizpildot pieteikumu ESF projekta Nr. 9.2.6.0/17/I/001 vienotajā reģistrācijas sistēmā</w:t>
            </w:r>
            <w:r>
              <w:rPr>
                <w:rFonts w:ascii="Times New Roman" w:hAnsi="Times New Roman"/>
                <w:color w:val="000000" w:themeColor="text1"/>
                <w:sz w:val="22"/>
                <w:szCs w:val="22"/>
              </w:rPr>
              <w:t>:</w:t>
            </w:r>
            <w:r w:rsidRPr="00EC66CF">
              <w:rPr>
                <w:rFonts w:ascii="Times New Roman" w:hAnsi="Times New Roman"/>
                <w:color w:val="000000" w:themeColor="text1"/>
                <w:sz w:val="22"/>
                <w:szCs w:val="22"/>
              </w:rPr>
              <w:t xml:space="preserve"> </w:t>
            </w:r>
            <w:hyperlink r:id="rId9" w:tgtFrame="_blank" w:history="1">
              <w:r>
                <w:rPr>
                  <w:rStyle w:val="Hyperlink"/>
                  <w:color w:val="0000FF"/>
                </w:rPr>
                <w:t>https://www.mitto.me/rsu-macibu-programma/registreties</w:t>
              </w:r>
            </w:hyperlink>
          </w:p>
        </w:tc>
      </w:tr>
      <w:tr w:rsidR="007B0EA7" w:rsidRPr="00EB0078" w:rsidTr="00801ACD">
        <w:trPr>
          <w:trHeight w:val="1164"/>
        </w:trPr>
        <w:tc>
          <w:tcPr>
            <w:tcW w:w="1761" w:type="pct"/>
            <w:vAlign w:val="center"/>
          </w:tcPr>
          <w:p w:rsidR="007B0EA7" w:rsidRPr="004555CF" w:rsidRDefault="007B0EA7" w:rsidP="006C766C">
            <w:pPr>
              <w:rPr>
                <w:sz w:val="22"/>
                <w:szCs w:val="22"/>
                <w:lang w:val="lv-LV"/>
              </w:rPr>
            </w:pPr>
            <w:r w:rsidRPr="004555CF">
              <w:rPr>
                <w:sz w:val="22"/>
                <w:szCs w:val="22"/>
                <w:lang w:val="lv-LV"/>
              </w:rPr>
              <w:t>Neformālās izglītības programmas  mērķis</w:t>
            </w:r>
          </w:p>
          <w:p w:rsidR="007B0EA7" w:rsidRPr="004555CF" w:rsidRDefault="007B0EA7" w:rsidP="006C766C">
            <w:pPr>
              <w:rPr>
                <w:sz w:val="22"/>
                <w:szCs w:val="22"/>
                <w:lang w:val="lv-LV"/>
              </w:rPr>
            </w:pPr>
          </w:p>
        </w:tc>
        <w:tc>
          <w:tcPr>
            <w:tcW w:w="3239" w:type="pct"/>
            <w:vAlign w:val="center"/>
          </w:tcPr>
          <w:p w:rsidR="00A603D1" w:rsidRPr="004555CF" w:rsidRDefault="00FF1346" w:rsidP="006C766C">
            <w:pPr>
              <w:rPr>
                <w:sz w:val="22"/>
                <w:szCs w:val="22"/>
                <w:lang w:val="lv-LV" w:eastAsia="en-US"/>
              </w:rPr>
            </w:pPr>
            <w:r w:rsidRPr="004555CF">
              <w:rPr>
                <w:sz w:val="22"/>
                <w:szCs w:val="22"/>
                <w:lang w:val="lv-LV" w:eastAsia="en-US"/>
              </w:rPr>
              <w:t xml:space="preserve">Izglītības procesa rezultātā </w:t>
            </w:r>
            <w:r w:rsidR="00801ACD" w:rsidRPr="00801ACD">
              <w:rPr>
                <w:sz w:val="22"/>
                <w:szCs w:val="22"/>
                <w:lang w:val="lv-LV" w:eastAsia="en-US"/>
              </w:rPr>
              <w:t>sniegt uz pierādījumiem balstītas, profesionālas teorētiskās zināšanas un pilnveidot praktiskās iemaņas par procesiem, kas ietekmē zāļu apriti stacionārā ārstniecības iestādē no zāļu izvēles līdz drošai lietošanai un uzraudzībai.</w:t>
            </w:r>
          </w:p>
        </w:tc>
      </w:tr>
      <w:tr w:rsidR="007B0EA7" w:rsidRPr="00EB0078" w:rsidTr="00801ACD">
        <w:trPr>
          <w:trHeight w:val="2393"/>
        </w:trPr>
        <w:tc>
          <w:tcPr>
            <w:tcW w:w="1761" w:type="pct"/>
            <w:vAlign w:val="center"/>
          </w:tcPr>
          <w:p w:rsidR="007B0EA7" w:rsidRPr="004555CF" w:rsidRDefault="007B0EA7" w:rsidP="006C766C">
            <w:pPr>
              <w:rPr>
                <w:sz w:val="22"/>
                <w:szCs w:val="22"/>
                <w:lang w:val="lv-LV"/>
              </w:rPr>
            </w:pPr>
            <w:r w:rsidRPr="004555CF">
              <w:rPr>
                <w:sz w:val="22"/>
                <w:szCs w:val="22"/>
                <w:lang w:val="lv-LV"/>
              </w:rPr>
              <w:t>Mācību programmas tēmas</w:t>
            </w:r>
          </w:p>
        </w:tc>
        <w:tc>
          <w:tcPr>
            <w:tcW w:w="3239" w:type="pct"/>
            <w:vAlign w:val="center"/>
          </w:tcPr>
          <w:p w:rsidR="00801ACD" w:rsidRPr="00801ACD" w:rsidRDefault="00801ACD" w:rsidP="00801ACD">
            <w:pPr>
              <w:pStyle w:val="ListParagraph"/>
              <w:numPr>
                <w:ilvl w:val="0"/>
                <w:numId w:val="19"/>
              </w:numPr>
              <w:rPr>
                <w:sz w:val="22"/>
                <w:szCs w:val="22"/>
                <w:lang w:eastAsia="en-US"/>
              </w:rPr>
            </w:pPr>
            <w:r w:rsidRPr="00801ACD">
              <w:rPr>
                <w:sz w:val="22"/>
                <w:szCs w:val="22"/>
                <w:lang w:eastAsia="en-US"/>
              </w:rPr>
              <w:t>Slimnīcas farmācija</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Eiropas Slimnīcu farmaceitu asociācijas (EAHP) pamatnostādnes</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Zāļu izvēles principi</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Veselības ekonomika</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Zāļu saraksta veidošana</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Publiskie iepirkumi medicīnā</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Loģistikas principi slimnīcas aptiekā</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Jaunās zāļu vielas un formas</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Medicīnisko ierīču aprite ārstniecības iestādē</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Specifikāciju izstrāde un Vigilances ziņojuma sagatavošana</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Klīniskā farmācija</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Hospitālās infekcijas, Antimicrobial stewardship</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Zāļu sagatavošana lietošanai</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Drošas zāļu ordinēšanas un ievadīšanas principi stacionārā ārstniecības iestādē</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Zāļu lietošanas un atšķaidīšanas protokolu noformēšanas kārtība</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lastRenderedPageBreak/>
              <w:t>Kvalitātes vadības sistēmas, to izmantošana stacionārā ārstniecības iestādē</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Medikamentu un medicīnas preču aprites organizācija stacionārā</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Jaunas pieejas zāļu un medicīnas preču aprites nodrošināšanā</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Zāļu gatavošana slēgta tipa aptiekā</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Citu valstu pieredze slimnīcas farmācijā</w:t>
            </w:r>
          </w:p>
          <w:p w:rsidR="002C4DE7" w:rsidRPr="004555CF" w:rsidRDefault="00801ACD" w:rsidP="00801ACD">
            <w:pPr>
              <w:pStyle w:val="ListParagraph"/>
              <w:numPr>
                <w:ilvl w:val="0"/>
                <w:numId w:val="19"/>
              </w:numPr>
              <w:rPr>
                <w:sz w:val="22"/>
                <w:szCs w:val="22"/>
                <w:lang w:eastAsia="en-US"/>
              </w:rPr>
            </w:pPr>
            <w:r w:rsidRPr="00801ACD">
              <w:rPr>
                <w:sz w:val="22"/>
                <w:szCs w:val="22"/>
                <w:lang w:eastAsia="en-US"/>
              </w:rPr>
              <w:t>Slēgta tipa aptiekas paškontroles standartprocedūru paraugu sagatavošana atbilstoši sistēmas KVS prasībām</w:t>
            </w:r>
          </w:p>
        </w:tc>
      </w:tr>
      <w:tr w:rsidR="007B0EA7" w:rsidRPr="00EB0078" w:rsidTr="00801ACD">
        <w:trPr>
          <w:trHeight w:val="1420"/>
        </w:trPr>
        <w:tc>
          <w:tcPr>
            <w:tcW w:w="1761" w:type="pct"/>
            <w:vAlign w:val="center"/>
          </w:tcPr>
          <w:p w:rsidR="007B0EA7" w:rsidRPr="004555CF" w:rsidRDefault="007B0EA7" w:rsidP="00801ACD">
            <w:pPr>
              <w:rPr>
                <w:sz w:val="22"/>
                <w:szCs w:val="22"/>
                <w:lang w:val="lv-LV"/>
              </w:rPr>
            </w:pPr>
            <w:r w:rsidRPr="004555CF">
              <w:rPr>
                <w:sz w:val="22"/>
                <w:szCs w:val="22"/>
                <w:lang w:val="lv-LV"/>
              </w:rPr>
              <w:lastRenderedPageBreak/>
              <w:t>Neformālās izglītības programmas apguves kvalitātes novērtēšana</w:t>
            </w:r>
          </w:p>
        </w:tc>
        <w:tc>
          <w:tcPr>
            <w:tcW w:w="3239" w:type="pct"/>
            <w:vAlign w:val="center"/>
          </w:tcPr>
          <w:p w:rsidR="007B0EA7" w:rsidRPr="004555CF" w:rsidRDefault="00DD2B11" w:rsidP="006C766C">
            <w:pPr>
              <w:rPr>
                <w:sz w:val="22"/>
                <w:szCs w:val="22"/>
                <w:lang w:val="lv-LV"/>
              </w:rPr>
            </w:pPr>
            <w:r w:rsidRPr="004555CF">
              <w:rPr>
                <w:sz w:val="22"/>
                <w:szCs w:val="22"/>
                <w:lang w:val="lv-LV"/>
              </w:rPr>
              <w:t xml:space="preserve">Izglītojamie, kuri apguvuši ne mazāk kā 75% no izglītības programmas un ieguvuši nepieciešamo zināšanu un prasmju vērtējumu (nokārtojuši pārbaudījumu </w:t>
            </w:r>
            <w:r w:rsidR="002479B0" w:rsidRPr="004555CF">
              <w:rPr>
                <w:sz w:val="22"/>
                <w:szCs w:val="22"/>
                <w:lang w:val="lv-LV"/>
              </w:rPr>
              <w:t>-</w:t>
            </w:r>
            <w:r w:rsidRPr="004555CF">
              <w:rPr>
                <w:sz w:val="22"/>
                <w:szCs w:val="22"/>
                <w:lang w:val="lv-LV"/>
              </w:rPr>
              <w:t xml:space="preserve"> testu ar vērtējumu „ieskaitīts”), saņem apliecību par neformālās izglītības programmas apguvi.</w:t>
            </w:r>
          </w:p>
        </w:tc>
      </w:tr>
    </w:tbl>
    <w:p w:rsidR="008E17A0" w:rsidRDefault="008E17A0" w:rsidP="008E17A0">
      <w:pPr>
        <w:rPr>
          <w:sz w:val="22"/>
          <w:szCs w:val="22"/>
          <w:lang w:val="lv-LV"/>
        </w:rPr>
      </w:pPr>
    </w:p>
    <w:p w:rsidR="00801ACD" w:rsidRDefault="00801ACD" w:rsidP="008E17A0">
      <w:pPr>
        <w:rPr>
          <w:sz w:val="22"/>
          <w:szCs w:val="22"/>
          <w:lang w:val="lv-LV"/>
        </w:rPr>
      </w:pPr>
    </w:p>
    <w:p w:rsidR="00801ACD" w:rsidRDefault="00801ACD" w:rsidP="008E17A0">
      <w:pPr>
        <w:rPr>
          <w:sz w:val="22"/>
          <w:szCs w:val="22"/>
          <w:lang w:val="lv-LV"/>
        </w:rPr>
      </w:pPr>
    </w:p>
    <w:p w:rsidR="00801ACD" w:rsidRDefault="00801ACD" w:rsidP="008E17A0">
      <w:pPr>
        <w:rPr>
          <w:sz w:val="22"/>
          <w:szCs w:val="22"/>
          <w:lang w:val="lv-LV"/>
        </w:rPr>
      </w:pPr>
    </w:p>
    <w:p w:rsidR="008E17A0" w:rsidRPr="004D3862" w:rsidRDefault="008E17A0" w:rsidP="008E17A0">
      <w:pPr>
        <w:rPr>
          <w:sz w:val="22"/>
          <w:szCs w:val="22"/>
          <w:lang w:val="lv-LV"/>
        </w:rPr>
      </w:pPr>
    </w:p>
    <w:p w:rsidR="008E17A0" w:rsidRPr="00EC66CF" w:rsidRDefault="008E17A0" w:rsidP="008E17A0">
      <w:pPr>
        <w:jc w:val="both"/>
        <w:rPr>
          <w:b/>
          <w:sz w:val="22"/>
          <w:szCs w:val="22"/>
          <w:lang w:val="lv-LV"/>
        </w:rPr>
      </w:pPr>
      <w:r w:rsidRPr="00EC66CF">
        <w:rPr>
          <w:b/>
          <w:sz w:val="22"/>
          <w:szCs w:val="22"/>
          <w:lang w:val="lv-LV"/>
        </w:rPr>
        <w:t xml:space="preserve">Lūdzam ņemt vērā, ka Eiropas Sociālā fonda projekta Nr.9.2.6.0/17/I/001 ietvaros rīkoto </w:t>
      </w:r>
      <w:r w:rsidRPr="00EC66CF">
        <w:rPr>
          <w:b/>
          <w:color w:val="C00000"/>
          <w:sz w:val="22"/>
          <w:szCs w:val="22"/>
          <w:lang w:val="lv-LV"/>
        </w:rPr>
        <w:t xml:space="preserve">mācību dalībnieks vienā dienā drīkst apmeklēt nodarbības tikai vienā mācību programmā! </w:t>
      </w:r>
      <w:r w:rsidRPr="00EC66CF">
        <w:rPr>
          <w:b/>
          <w:sz w:val="22"/>
          <w:szCs w:val="22"/>
          <w:lang w:val="lv-LV"/>
        </w:rPr>
        <w:t>Ja vairākām mācību programmām pārklājas norises datumi (arī tad, ja mācības realizē dažādas institūcijas),</w:t>
      </w:r>
      <w:r>
        <w:rPr>
          <w:b/>
          <w:sz w:val="22"/>
          <w:szCs w:val="22"/>
          <w:lang w:val="lv-LV"/>
        </w:rPr>
        <w:t xml:space="preserve"> </w:t>
      </w:r>
      <w:r w:rsidRPr="00EC66CF">
        <w:rPr>
          <w:b/>
          <w:sz w:val="22"/>
          <w:szCs w:val="22"/>
          <w:lang w:val="lv-LV"/>
        </w:rPr>
        <w:t xml:space="preserve">tad drīkst apmeklēt tikai vienu </w:t>
      </w:r>
      <w:r>
        <w:rPr>
          <w:b/>
          <w:sz w:val="22"/>
          <w:szCs w:val="22"/>
          <w:lang w:val="lv-LV"/>
        </w:rPr>
        <w:t>programmu</w:t>
      </w:r>
      <w:r w:rsidRPr="00EC66CF">
        <w:rPr>
          <w:b/>
          <w:sz w:val="22"/>
          <w:szCs w:val="22"/>
          <w:lang w:val="lv-LV"/>
        </w:rPr>
        <w:t xml:space="preserve">! </w:t>
      </w:r>
    </w:p>
    <w:p w:rsidR="008E17A0" w:rsidRPr="00EC66CF" w:rsidRDefault="008E17A0" w:rsidP="008E17A0">
      <w:pPr>
        <w:jc w:val="both"/>
        <w:rPr>
          <w:sz w:val="22"/>
          <w:szCs w:val="22"/>
          <w:lang w:val="lv-LV"/>
        </w:rPr>
      </w:pPr>
    </w:p>
    <w:p w:rsidR="008E17A0" w:rsidRPr="00EC66CF" w:rsidRDefault="008E17A0" w:rsidP="008E17A0">
      <w:pPr>
        <w:jc w:val="both"/>
        <w:rPr>
          <w:sz w:val="22"/>
          <w:szCs w:val="22"/>
          <w:lang w:val="lv-LV"/>
        </w:rPr>
      </w:pPr>
      <w:r w:rsidRPr="00EC66CF">
        <w:rPr>
          <w:sz w:val="22"/>
          <w:szCs w:val="22"/>
          <w:lang w:val="lv-LV"/>
        </w:rPr>
        <w:t xml:space="preserve">Analizējot realizēto mācību datus ir konstatēts, ka mācību dalībnieki vienlaicīgi apmeklē vairākas nodarbības (vienā dienā apmeklē vairākas mācību programmas gan pie viena, gan dažādiem rīkotājiem), Veselības ministrija brīdina, ka šī fakta konstatēšanas gadījumā VM vērsīsies sertifikācijas institūcijās ar lūgumu konkrētā mācību dalībnieka iegūtos tālākizglītības punktus neņemt vērā pie ārstniecības personas resertifikācijas. </w:t>
      </w:r>
    </w:p>
    <w:p w:rsidR="008E17A0" w:rsidRPr="00417B7C" w:rsidRDefault="008E17A0" w:rsidP="008E17A0">
      <w:pPr>
        <w:jc w:val="both"/>
        <w:rPr>
          <w:sz w:val="22"/>
          <w:szCs w:val="22"/>
          <w:lang w:val="lv-LV"/>
        </w:rPr>
      </w:pPr>
    </w:p>
    <w:p w:rsidR="008E17A0" w:rsidRPr="00417B7C" w:rsidRDefault="008E17A0" w:rsidP="008E17A0">
      <w:pPr>
        <w:jc w:val="both"/>
        <w:rPr>
          <w:sz w:val="22"/>
          <w:szCs w:val="22"/>
          <w:lang w:val="lv-LV"/>
        </w:rPr>
      </w:pPr>
    </w:p>
    <w:p w:rsidR="008E17A0" w:rsidRPr="00417B7C" w:rsidRDefault="008E17A0" w:rsidP="008E17A0">
      <w:pPr>
        <w:jc w:val="both"/>
        <w:rPr>
          <w:sz w:val="22"/>
          <w:szCs w:val="22"/>
          <w:lang w:val="lv-LV"/>
        </w:rPr>
      </w:pPr>
    </w:p>
    <w:p w:rsidR="008E17A0" w:rsidRPr="00417B7C" w:rsidRDefault="008E17A0" w:rsidP="008E17A0">
      <w:pPr>
        <w:pStyle w:val="NormalWeb"/>
        <w:spacing w:before="120" w:beforeAutospacing="0" w:after="0" w:afterAutospacing="0"/>
        <w:rPr>
          <w:color w:val="000000"/>
          <w:sz w:val="22"/>
          <w:szCs w:val="22"/>
        </w:rPr>
      </w:pPr>
      <w:r w:rsidRPr="00417B7C">
        <w:rPr>
          <w:color w:val="000000"/>
          <w:sz w:val="22"/>
          <w:szCs w:val="22"/>
        </w:rPr>
        <w:t>Noderīgi!</w:t>
      </w:r>
    </w:p>
    <w:p w:rsidR="008E17A0" w:rsidRPr="00417B7C" w:rsidRDefault="008E17A0" w:rsidP="008E17A0">
      <w:pPr>
        <w:pStyle w:val="NormalWeb"/>
        <w:numPr>
          <w:ilvl w:val="0"/>
          <w:numId w:val="21"/>
        </w:numPr>
        <w:spacing w:before="120" w:beforeAutospacing="0" w:after="0" w:afterAutospacing="0"/>
        <w:rPr>
          <w:color w:val="000000"/>
          <w:sz w:val="22"/>
          <w:szCs w:val="22"/>
        </w:rPr>
      </w:pPr>
      <w:r w:rsidRPr="00417B7C">
        <w:rPr>
          <w:color w:val="000000"/>
          <w:sz w:val="22"/>
          <w:szCs w:val="22"/>
        </w:rPr>
        <w:t xml:space="preserve">Informācija par Rīgas Stradiņa universitātes ESF projektu Nr.9.2.6.0/17/I/001 ietvaros rīkotajām mācībām </w:t>
      </w:r>
      <w:hyperlink r:id="rId10" w:history="1">
        <w:r w:rsidRPr="00417B7C">
          <w:rPr>
            <w:rStyle w:val="Hyperlink"/>
            <w:sz w:val="22"/>
            <w:szCs w:val="22"/>
          </w:rPr>
          <w:t>https://www.rsu.lv/esf-kursi</w:t>
        </w:r>
      </w:hyperlink>
      <w:r w:rsidRPr="00417B7C">
        <w:rPr>
          <w:color w:val="000000"/>
          <w:sz w:val="22"/>
          <w:szCs w:val="22"/>
        </w:rPr>
        <w:t xml:space="preserve"> </w:t>
      </w:r>
    </w:p>
    <w:p w:rsidR="008E17A0" w:rsidRPr="00417B7C" w:rsidRDefault="008E17A0" w:rsidP="008E17A0">
      <w:pPr>
        <w:pStyle w:val="NormalWeb"/>
        <w:numPr>
          <w:ilvl w:val="0"/>
          <w:numId w:val="21"/>
        </w:numPr>
        <w:spacing w:before="120" w:beforeAutospacing="0" w:after="0" w:afterAutospacing="0"/>
        <w:rPr>
          <w:color w:val="000000"/>
          <w:sz w:val="22"/>
          <w:szCs w:val="22"/>
        </w:rPr>
      </w:pPr>
      <w:r w:rsidRPr="00417B7C">
        <w:rPr>
          <w:color w:val="000000"/>
          <w:sz w:val="22"/>
          <w:szCs w:val="22"/>
        </w:rPr>
        <w:t xml:space="preserve">Informācija par ESF projektu Nr.9.2.6.0/17/I/001 un tā ietvaros rīkotajām mācībām pieejama Veselības ministrijas izveidotajā mājas lapā </w:t>
      </w:r>
      <w:hyperlink r:id="rId11" w:history="1">
        <w:r w:rsidRPr="00417B7C">
          <w:rPr>
            <w:rStyle w:val="Hyperlink"/>
            <w:sz w:val="22"/>
            <w:szCs w:val="22"/>
          </w:rPr>
          <w:t>www.talakizglitiba.lv</w:t>
        </w:r>
      </w:hyperlink>
      <w:r w:rsidRPr="00417B7C">
        <w:rPr>
          <w:color w:val="000000"/>
          <w:sz w:val="22"/>
          <w:szCs w:val="22"/>
        </w:rPr>
        <w:t xml:space="preserve"> </w:t>
      </w:r>
    </w:p>
    <w:p w:rsidR="004555CF" w:rsidRPr="00417B7C" w:rsidRDefault="008E17A0" w:rsidP="004555CF">
      <w:pPr>
        <w:pStyle w:val="NormalWeb"/>
        <w:numPr>
          <w:ilvl w:val="0"/>
          <w:numId w:val="21"/>
        </w:numPr>
        <w:spacing w:before="120" w:beforeAutospacing="0" w:after="0" w:afterAutospacing="0"/>
        <w:rPr>
          <w:color w:val="000000"/>
          <w:sz w:val="22"/>
          <w:szCs w:val="22"/>
        </w:rPr>
      </w:pPr>
      <w:r w:rsidRPr="00417B7C">
        <w:rPr>
          <w:color w:val="000000"/>
          <w:sz w:val="22"/>
          <w:szCs w:val="22"/>
        </w:rPr>
        <w:t xml:space="preserve">Projekta realizācijā iesaistīto institūciju kopējais mācību kalendārs attiecīgajam mēnesim pieejams </w:t>
      </w:r>
      <w:hyperlink r:id="rId12" w:history="1">
        <w:r w:rsidRPr="00417B7C">
          <w:rPr>
            <w:rStyle w:val="Hyperlink"/>
            <w:sz w:val="22"/>
            <w:szCs w:val="22"/>
          </w:rPr>
          <w:t>http://www.talakizglitiba.lv/aktualitates/aktualitates</w:t>
        </w:r>
      </w:hyperlink>
    </w:p>
    <w:sectPr w:rsidR="004555CF" w:rsidRPr="00417B7C" w:rsidSect="004555CF">
      <w:pgSz w:w="11906" w:h="16838"/>
      <w:pgMar w:top="567" w:right="1134" w:bottom="567"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10" w:rsidRDefault="00586F10" w:rsidP="00586F10">
      <w:r>
        <w:separator/>
      </w:r>
    </w:p>
  </w:endnote>
  <w:endnote w:type="continuationSeparator" w:id="0">
    <w:p w:rsidR="00586F10" w:rsidRDefault="00586F10" w:rsidP="0058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10" w:rsidRDefault="00586F10" w:rsidP="00586F10">
      <w:r>
        <w:separator/>
      </w:r>
    </w:p>
  </w:footnote>
  <w:footnote w:type="continuationSeparator" w:id="0">
    <w:p w:rsidR="00586F10" w:rsidRDefault="00586F10" w:rsidP="00586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7A8E"/>
    <w:multiLevelType w:val="hybridMultilevel"/>
    <w:tmpl w:val="FC7CBE10"/>
    <w:lvl w:ilvl="0" w:tplc="0426000F">
      <w:start w:val="1"/>
      <w:numFmt w:val="decimal"/>
      <w:lvlText w:val="%1."/>
      <w:lvlJc w:val="left"/>
      <w:pPr>
        <w:ind w:left="787" w:hanging="360"/>
      </w:pPr>
    </w:lvl>
    <w:lvl w:ilvl="1" w:tplc="04260019" w:tentative="1">
      <w:start w:val="1"/>
      <w:numFmt w:val="lowerLetter"/>
      <w:lvlText w:val="%2."/>
      <w:lvlJc w:val="left"/>
      <w:pPr>
        <w:ind w:left="1507" w:hanging="360"/>
      </w:pPr>
    </w:lvl>
    <w:lvl w:ilvl="2" w:tplc="0426001B" w:tentative="1">
      <w:start w:val="1"/>
      <w:numFmt w:val="lowerRoman"/>
      <w:lvlText w:val="%3."/>
      <w:lvlJc w:val="right"/>
      <w:pPr>
        <w:ind w:left="2227" w:hanging="180"/>
      </w:pPr>
    </w:lvl>
    <w:lvl w:ilvl="3" w:tplc="0426000F" w:tentative="1">
      <w:start w:val="1"/>
      <w:numFmt w:val="decimal"/>
      <w:lvlText w:val="%4."/>
      <w:lvlJc w:val="left"/>
      <w:pPr>
        <w:ind w:left="2947" w:hanging="360"/>
      </w:pPr>
    </w:lvl>
    <w:lvl w:ilvl="4" w:tplc="04260019" w:tentative="1">
      <w:start w:val="1"/>
      <w:numFmt w:val="lowerLetter"/>
      <w:lvlText w:val="%5."/>
      <w:lvlJc w:val="left"/>
      <w:pPr>
        <w:ind w:left="3667" w:hanging="360"/>
      </w:pPr>
    </w:lvl>
    <w:lvl w:ilvl="5" w:tplc="0426001B" w:tentative="1">
      <w:start w:val="1"/>
      <w:numFmt w:val="lowerRoman"/>
      <w:lvlText w:val="%6."/>
      <w:lvlJc w:val="right"/>
      <w:pPr>
        <w:ind w:left="4387" w:hanging="180"/>
      </w:pPr>
    </w:lvl>
    <w:lvl w:ilvl="6" w:tplc="0426000F" w:tentative="1">
      <w:start w:val="1"/>
      <w:numFmt w:val="decimal"/>
      <w:lvlText w:val="%7."/>
      <w:lvlJc w:val="left"/>
      <w:pPr>
        <w:ind w:left="5107" w:hanging="360"/>
      </w:pPr>
    </w:lvl>
    <w:lvl w:ilvl="7" w:tplc="04260019" w:tentative="1">
      <w:start w:val="1"/>
      <w:numFmt w:val="lowerLetter"/>
      <w:lvlText w:val="%8."/>
      <w:lvlJc w:val="left"/>
      <w:pPr>
        <w:ind w:left="5827" w:hanging="360"/>
      </w:pPr>
    </w:lvl>
    <w:lvl w:ilvl="8" w:tplc="0426001B" w:tentative="1">
      <w:start w:val="1"/>
      <w:numFmt w:val="lowerRoman"/>
      <w:lvlText w:val="%9."/>
      <w:lvlJc w:val="right"/>
      <w:pPr>
        <w:ind w:left="6547" w:hanging="180"/>
      </w:pPr>
    </w:lvl>
  </w:abstractNum>
  <w:abstractNum w:abstractNumId="1" w15:restartNumberingAfterBreak="0">
    <w:nsid w:val="16707D06"/>
    <w:multiLevelType w:val="hybridMultilevel"/>
    <w:tmpl w:val="FEDA8FEE"/>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 w15:restartNumberingAfterBreak="0">
    <w:nsid w:val="17EA13FB"/>
    <w:multiLevelType w:val="hybridMultilevel"/>
    <w:tmpl w:val="7A42B31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18356845"/>
    <w:multiLevelType w:val="hybridMultilevel"/>
    <w:tmpl w:val="3C4A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DC1B6E"/>
    <w:multiLevelType w:val="hybridMultilevel"/>
    <w:tmpl w:val="CFF8E3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421AA"/>
    <w:multiLevelType w:val="hybridMultilevel"/>
    <w:tmpl w:val="5622D33E"/>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307D713B"/>
    <w:multiLevelType w:val="hybridMultilevel"/>
    <w:tmpl w:val="50B8FD76"/>
    <w:lvl w:ilvl="0" w:tplc="1610B94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2F3797"/>
    <w:multiLevelType w:val="hybridMultilevel"/>
    <w:tmpl w:val="B5C27D6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7A6FE4"/>
    <w:multiLevelType w:val="hybridMultilevel"/>
    <w:tmpl w:val="91B65E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A734C0"/>
    <w:multiLevelType w:val="multilevel"/>
    <w:tmpl w:val="57AA95EC"/>
    <w:lvl w:ilvl="0">
      <w:start w:val="1"/>
      <w:numFmt w:val="decimal"/>
      <w:pStyle w:val="VRPrasiba"/>
      <w:lvlText w:val="%1."/>
      <w:lvlJc w:val="left"/>
      <w:pPr>
        <w:tabs>
          <w:tab w:val="num" w:pos="1430"/>
        </w:tabs>
        <w:ind w:left="1430" w:hanging="720"/>
      </w:pPr>
      <w:rPr>
        <w:rFonts w:ascii="Times New Roman" w:eastAsia="Times New Roman" w:hAnsi="Times New Roman" w:cs="Times New Roman"/>
        <w:b w:val="0"/>
        <w:color w:val="auto"/>
      </w:rPr>
    </w:lvl>
    <w:lvl w:ilvl="1">
      <w:start w:val="1"/>
      <w:numFmt w:val="decimal"/>
      <w:lvlText w:val="%2)"/>
      <w:lvlJc w:val="left"/>
      <w:pPr>
        <w:tabs>
          <w:tab w:val="num" w:pos="2150"/>
        </w:tabs>
        <w:ind w:left="2150" w:hanging="720"/>
      </w:pPr>
      <w:rPr>
        <w:rFonts w:ascii="Times New Roman" w:eastAsia="Times New Roman" w:hAnsi="Times New Roman" w:cs="Times New Roman"/>
      </w:rPr>
    </w:lvl>
    <w:lvl w:ilvl="2">
      <w:start w:val="1"/>
      <w:numFmt w:val="decimal"/>
      <w:pStyle w:val="S3"/>
      <w:lvlText w:val="%3)"/>
      <w:lvlJc w:val="left"/>
      <w:pPr>
        <w:tabs>
          <w:tab w:val="num" w:pos="2870"/>
        </w:tabs>
        <w:ind w:left="2870" w:hanging="720"/>
      </w:pPr>
      <w:rPr>
        <w:rFonts w:ascii="Times New Roman" w:eastAsia="Times New Roman" w:hAnsi="Times New Roman" w:cs="Times New Roman"/>
      </w:rPr>
    </w:lvl>
    <w:lvl w:ilvl="3">
      <w:start w:val="1"/>
      <w:numFmt w:val="decimal"/>
      <w:pStyle w:val="Virsraksts41"/>
      <w:lvlText w:val="%4."/>
      <w:lvlJc w:val="left"/>
      <w:pPr>
        <w:tabs>
          <w:tab w:val="num" w:pos="3590"/>
        </w:tabs>
        <w:ind w:left="3590" w:hanging="720"/>
      </w:pPr>
    </w:lvl>
    <w:lvl w:ilvl="4">
      <w:start w:val="1"/>
      <w:numFmt w:val="decimal"/>
      <w:pStyle w:val="Virsraksts51"/>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pStyle w:val="Virsraksts71"/>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10" w15:restartNumberingAfterBreak="0">
    <w:nsid w:val="3EF75375"/>
    <w:multiLevelType w:val="hybridMultilevel"/>
    <w:tmpl w:val="E85A87F8"/>
    <w:lvl w:ilvl="0" w:tplc="DE560E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4664A52"/>
    <w:multiLevelType w:val="hybridMultilevel"/>
    <w:tmpl w:val="C8863184"/>
    <w:lvl w:ilvl="0" w:tplc="E8E07B5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F6729C"/>
    <w:multiLevelType w:val="hybridMultilevel"/>
    <w:tmpl w:val="2F5E9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EE41DFB"/>
    <w:multiLevelType w:val="hybridMultilevel"/>
    <w:tmpl w:val="40323B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BA1CC2"/>
    <w:multiLevelType w:val="hybridMultilevel"/>
    <w:tmpl w:val="D098E57E"/>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747BFB"/>
    <w:multiLevelType w:val="hybridMultilevel"/>
    <w:tmpl w:val="E1783D84"/>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16" w15:restartNumberingAfterBreak="0">
    <w:nsid w:val="6A31282D"/>
    <w:multiLevelType w:val="hybridMultilevel"/>
    <w:tmpl w:val="1608A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0F70D06"/>
    <w:multiLevelType w:val="hybridMultilevel"/>
    <w:tmpl w:val="897E0D42"/>
    <w:lvl w:ilvl="0" w:tplc="1610B94C">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8" w15:restartNumberingAfterBreak="0">
    <w:nsid w:val="726441A2"/>
    <w:multiLevelType w:val="hybridMultilevel"/>
    <w:tmpl w:val="5F0CDDF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0"/>
  </w:num>
  <w:num w:numId="2">
    <w:abstractNumId w:val="11"/>
  </w:num>
  <w:num w:numId="3">
    <w:abstractNumId w:val="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
  </w:num>
  <w:num w:numId="9">
    <w:abstractNumId w:val="15"/>
  </w:num>
  <w:num w:numId="10">
    <w:abstractNumId w:val="8"/>
  </w:num>
  <w:num w:numId="11">
    <w:abstractNumId w:val="13"/>
  </w:num>
  <w:num w:numId="12">
    <w:abstractNumId w:val="4"/>
  </w:num>
  <w:num w:numId="13">
    <w:abstractNumId w:val="7"/>
  </w:num>
  <w:num w:numId="14">
    <w:abstractNumId w:val="5"/>
  </w:num>
  <w:num w:numId="15">
    <w:abstractNumId w:val="10"/>
  </w:num>
  <w:num w:numId="16">
    <w:abstractNumId w:val="16"/>
  </w:num>
  <w:num w:numId="17">
    <w:abstractNumId w:val="18"/>
  </w:num>
  <w:num w:numId="18">
    <w:abstractNumId w:val="6"/>
  </w:num>
  <w:num w:numId="19">
    <w:abstractNumId w:val="2"/>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37"/>
    <w:rsid w:val="000032BF"/>
    <w:rsid w:val="000A7ABC"/>
    <w:rsid w:val="000D4A42"/>
    <w:rsid w:val="000E55E9"/>
    <w:rsid w:val="001005EA"/>
    <w:rsid w:val="001375BD"/>
    <w:rsid w:val="00150708"/>
    <w:rsid w:val="001651AA"/>
    <w:rsid w:val="00187675"/>
    <w:rsid w:val="00187D30"/>
    <w:rsid w:val="001B47AD"/>
    <w:rsid w:val="00211193"/>
    <w:rsid w:val="002479B0"/>
    <w:rsid w:val="002577C2"/>
    <w:rsid w:val="002C4DE7"/>
    <w:rsid w:val="002F4F95"/>
    <w:rsid w:val="0033266C"/>
    <w:rsid w:val="00341E8B"/>
    <w:rsid w:val="00397C23"/>
    <w:rsid w:val="003B70D4"/>
    <w:rsid w:val="003C0AAF"/>
    <w:rsid w:val="003F2F21"/>
    <w:rsid w:val="00414A91"/>
    <w:rsid w:val="00417B7C"/>
    <w:rsid w:val="00427E00"/>
    <w:rsid w:val="00430424"/>
    <w:rsid w:val="00452D28"/>
    <w:rsid w:val="004555CF"/>
    <w:rsid w:val="00473DFA"/>
    <w:rsid w:val="00495F31"/>
    <w:rsid w:val="00497015"/>
    <w:rsid w:val="004A6AA4"/>
    <w:rsid w:val="004B5CAD"/>
    <w:rsid w:val="004D6B37"/>
    <w:rsid w:val="005328ED"/>
    <w:rsid w:val="00562E67"/>
    <w:rsid w:val="00585522"/>
    <w:rsid w:val="00586F10"/>
    <w:rsid w:val="005D180A"/>
    <w:rsid w:val="00602443"/>
    <w:rsid w:val="00612125"/>
    <w:rsid w:val="00625A47"/>
    <w:rsid w:val="0063491E"/>
    <w:rsid w:val="006458C3"/>
    <w:rsid w:val="006769BC"/>
    <w:rsid w:val="00684F5D"/>
    <w:rsid w:val="00690CF8"/>
    <w:rsid w:val="006C766C"/>
    <w:rsid w:val="006F5A32"/>
    <w:rsid w:val="00722622"/>
    <w:rsid w:val="007534C3"/>
    <w:rsid w:val="0075650F"/>
    <w:rsid w:val="007779D0"/>
    <w:rsid w:val="007B0EA7"/>
    <w:rsid w:val="007B20C8"/>
    <w:rsid w:val="007B74D0"/>
    <w:rsid w:val="007E17F0"/>
    <w:rsid w:val="0080069B"/>
    <w:rsid w:val="00801ACD"/>
    <w:rsid w:val="00822B92"/>
    <w:rsid w:val="00824C7D"/>
    <w:rsid w:val="008323E4"/>
    <w:rsid w:val="00865E57"/>
    <w:rsid w:val="00882086"/>
    <w:rsid w:val="00892EC5"/>
    <w:rsid w:val="008B4E23"/>
    <w:rsid w:val="008B5B7C"/>
    <w:rsid w:val="008D4B37"/>
    <w:rsid w:val="008E17A0"/>
    <w:rsid w:val="00924523"/>
    <w:rsid w:val="009342F0"/>
    <w:rsid w:val="00963178"/>
    <w:rsid w:val="00967849"/>
    <w:rsid w:val="00982F5B"/>
    <w:rsid w:val="00992B2C"/>
    <w:rsid w:val="009A7FA8"/>
    <w:rsid w:val="009B0D85"/>
    <w:rsid w:val="009D1082"/>
    <w:rsid w:val="009F066B"/>
    <w:rsid w:val="00A16711"/>
    <w:rsid w:val="00A34A7B"/>
    <w:rsid w:val="00A35BF6"/>
    <w:rsid w:val="00A41E89"/>
    <w:rsid w:val="00A51C87"/>
    <w:rsid w:val="00A603D1"/>
    <w:rsid w:val="00AA5E55"/>
    <w:rsid w:val="00AC0A51"/>
    <w:rsid w:val="00B527E0"/>
    <w:rsid w:val="00BA716A"/>
    <w:rsid w:val="00C04189"/>
    <w:rsid w:val="00C20A13"/>
    <w:rsid w:val="00C345D6"/>
    <w:rsid w:val="00C45212"/>
    <w:rsid w:val="00C558B5"/>
    <w:rsid w:val="00C871A9"/>
    <w:rsid w:val="00CA0EF0"/>
    <w:rsid w:val="00CB45EB"/>
    <w:rsid w:val="00CE0904"/>
    <w:rsid w:val="00CF6930"/>
    <w:rsid w:val="00D03344"/>
    <w:rsid w:val="00D47C69"/>
    <w:rsid w:val="00D6404C"/>
    <w:rsid w:val="00DD2B11"/>
    <w:rsid w:val="00E05017"/>
    <w:rsid w:val="00E30805"/>
    <w:rsid w:val="00EA7238"/>
    <w:rsid w:val="00EB0078"/>
    <w:rsid w:val="00EB601F"/>
    <w:rsid w:val="00EF62B0"/>
    <w:rsid w:val="00F84FAE"/>
    <w:rsid w:val="00FC6639"/>
    <w:rsid w:val="00FC68AD"/>
    <w:rsid w:val="00FF1346"/>
    <w:rsid w:val="00FF7C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8D8BD-2FEA-44B8-95BE-1FB4CD61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B37"/>
    <w:pPr>
      <w:spacing w:after="0" w:line="240" w:lineRule="auto"/>
    </w:pPr>
    <w:rPr>
      <w:rFonts w:ascii="Times New Roman" w:eastAsia="Times New Roman" w:hAnsi="Times New Roman" w:cs="Times New Roman"/>
      <w:sz w:val="24"/>
      <w:szCs w:val="24"/>
      <w:lang w:val="ru-RU" w:eastAsia="ru-RU"/>
    </w:rPr>
  </w:style>
  <w:style w:type="paragraph" w:styleId="Heading2">
    <w:name w:val="heading 2"/>
    <w:aliases w:val="Antraste 2,Reset numbering,B_Kapittel,HD2,H2,Titre 2 tbo,Sub-Head1,h2,Heading 2- no#,2m,PA Major Section,Podkapitola1,hlavicka,Podk...,H2 Char,Titre 2 tbo Char,Sub-Head1 Char,h2 Char,Heading 2- no# Char,2m Char,Podk... Char,Heading 21,H21"/>
    <w:basedOn w:val="Normal"/>
    <w:next w:val="Normal"/>
    <w:link w:val="Heading2Char"/>
    <w:uiPriority w:val="99"/>
    <w:qFormat/>
    <w:rsid w:val="00A35BF6"/>
    <w:pPr>
      <w:keepNext/>
      <w:widowControl w:val="0"/>
      <w:autoSpaceDE w:val="0"/>
      <w:autoSpaceDN w:val="0"/>
      <w:jc w:val="both"/>
      <w:outlineLvl w:val="1"/>
    </w:pPr>
    <w:rPr>
      <w:b/>
      <w:bCs/>
      <w:szCs w:val="28"/>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D6B37"/>
    <w:pPr>
      <w:ind w:firstLine="720"/>
      <w:jc w:val="both"/>
    </w:pPr>
    <w:rPr>
      <w:rFonts w:ascii="Times New Roman Tilde" w:hAnsi="Times New Roman Tilde"/>
      <w:szCs w:val="20"/>
      <w:lang w:val="lv-LV" w:eastAsia="en-US"/>
    </w:rPr>
  </w:style>
  <w:style w:type="character" w:customStyle="1" w:styleId="BodyTextIndentChar">
    <w:name w:val="Body Text Indent Char"/>
    <w:basedOn w:val="DefaultParagraphFont"/>
    <w:link w:val="BodyTextIndent"/>
    <w:rsid w:val="004D6B37"/>
    <w:rPr>
      <w:rFonts w:ascii="Times New Roman Tilde" w:eastAsia="Times New Roman" w:hAnsi="Times New Roman Tilde" w:cs="Times New Roman"/>
      <w:sz w:val="24"/>
      <w:szCs w:val="20"/>
    </w:rPr>
  </w:style>
  <w:style w:type="paragraph" w:styleId="ListParagraph">
    <w:name w:val="List Paragraph"/>
    <w:aliases w:val="2"/>
    <w:basedOn w:val="Normal"/>
    <w:link w:val="ListParagraphChar"/>
    <w:uiPriority w:val="34"/>
    <w:qFormat/>
    <w:rsid w:val="004D6B37"/>
    <w:pPr>
      <w:ind w:left="720"/>
      <w:contextualSpacing/>
    </w:pPr>
    <w:rPr>
      <w:lang w:val="lv-LV" w:eastAsia="lv-LV"/>
    </w:rPr>
  </w:style>
  <w:style w:type="character" w:styleId="Hyperlink">
    <w:name w:val="Hyperlink"/>
    <w:basedOn w:val="DefaultParagraphFont"/>
    <w:uiPriority w:val="99"/>
    <w:unhideWhenUsed/>
    <w:rsid w:val="004D6B37"/>
    <w:rPr>
      <w:color w:val="0000FF" w:themeColor="hyperlink"/>
      <w:u w:val="single"/>
    </w:rPr>
  </w:style>
  <w:style w:type="paragraph" w:customStyle="1" w:styleId="rinda1">
    <w:name w:val="rinda1"/>
    <w:basedOn w:val="Normal"/>
    <w:rsid w:val="004D6B37"/>
    <w:pPr>
      <w:tabs>
        <w:tab w:val="num" w:pos="720"/>
      </w:tabs>
      <w:ind w:left="720" w:hanging="720"/>
    </w:pPr>
    <w:rPr>
      <w:szCs w:val="20"/>
      <w:lang w:eastAsia="en-US"/>
    </w:rPr>
  </w:style>
  <w:style w:type="character" w:customStyle="1" w:styleId="ListParagraphChar">
    <w:name w:val="List Paragraph Char"/>
    <w:aliases w:val="2 Char"/>
    <w:link w:val="ListParagraph"/>
    <w:uiPriority w:val="34"/>
    <w:locked/>
    <w:rsid w:val="004D6B37"/>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unhideWhenUsed/>
    <w:rsid w:val="004D6B37"/>
    <w:rPr>
      <w:sz w:val="20"/>
      <w:szCs w:val="20"/>
      <w:lang w:val="lv-LV" w:eastAsia="en-US"/>
    </w:rPr>
  </w:style>
  <w:style w:type="character" w:customStyle="1" w:styleId="CommentTextChar">
    <w:name w:val="Comment Text Char"/>
    <w:basedOn w:val="DefaultParagraphFont"/>
    <w:link w:val="CommentText"/>
    <w:uiPriority w:val="99"/>
    <w:rsid w:val="004D6B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D6B37"/>
    <w:rPr>
      <w:rFonts w:ascii="Tahoma" w:hAnsi="Tahoma" w:cs="Tahoma"/>
      <w:sz w:val="16"/>
      <w:szCs w:val="16"/>
    </w:rPr>
  </w:style>
  <w:style w:type="character" w:customStyle="1" w:styleId="BalloonTextChar">
    <w:name w:val="Balloon Text Char"/>
    <w:basedOn w:val="DefaultParagraphFont"/>
    <w:link w:val="BalloonText"/>
    <w:uiPriority w:val="99"/>
    <w:semiHidden/>
    <w:rsid w:val="004D6B37"/>
    <w:rPr>
      <w:rFonts w:ascii="Tahoma" w:eastAsia="Times New Roman" w:hAnsi="Tahoma" w:cs="Tahoma"/>
      <w:sz w:val="16"/>
      <w:szCs w:val="16"/>
      <w:lang w:val="ru-RU" w:eastAsia="ru-RU"/>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uiPriority w:val="99"/>
    <w:rsid w:val="00A35BF6"/>
    <w:rPr>
      <w:rFonts w:ascii="Times New Roman" w:eastAsia="Times New Roman" w:hAnsi="Times New Roman" w:cs="Times New Roman"/>
      <w:b/>
      <w:bCs/>
      <w:sz w:val="24"/>
      <w:szCs w:val="28"/>
    </w:rPr>
  </w:style>
  <w:style w:type="paragraph" w:customStyle="1" w:styleId="Virsraksts41">
    <w:name w:val="Virsraksts 41"/>
    <w:basedOn w:val="Normal"/>
    <w:next w:val="Normal"/>
    <w:rsid w:val="006458C3"/>
    <w:pPr>
      <w:keepNext/>
      <w:widowControl w:val="0"/>
      <w:numPr>
        <w:ilvl w:val="3"/>
        <w:numId w:val="4"/>
      </w:numPr>
      <w:tabs>
        <w:tab w:val="left" w:pos="864"/>
        <w:tab w:val="left" w:pos="1080"/>
      </w:tabs>
      <w:suppressAutoHyphens/>
      <w:spacing w:before="240" w:after="60"/>
      <w:outlineLvl w:val="3"/>
    </w:pPr>
    <w:rPr>
      <w:b/>
      <w:bCs/>
      <w:lang w:val="lv-LV" w:eastAsia="lv-LV"/>
    </w:rPr>
  </w:style>
  <w:style w:type="paragraph" w:customStyle="1" w:styleId="Virsraksts71">
    <w:name w:val="Virsraksts 71"/>
    <w:basedOn w:val="Normal"/>
    <w:next w:val="Normal"/>
    <w:rsid w:val="006458C3"/>
    <w:pPr>
      <w:widowControl w:val="0"/>
      <w:numPr>
        <w:ilvl w:val="6"/>
        <w:numId w:val="4"/>
      </w:numPr>
      <w:tabs>
        <w:tab w:val="left" w:pos="1296"/>
      </w:tabs>
      <w:suppressAutoHyphens/>
      <w:spacing w:before="240" w:after="60"/>
      <w:outlineLvl w:val="6"/>
    </w:pPr>
    <w:rPr>
      <w:lang w:val="lv-LV" w:eastAsia="lv-LV"/>
    </w:rPr>
  </w:style>
  <w:style w:type="paragraph" w:customStyle="1" w:styleId="Virsraksts51">
    <w:name w:val="Virsraksts 51"/>
    <w:basedOn w:val="Normal"/>
    <w:next w:val="Normal"/>
    <w:rsid w:val="006458C3"/>
    <w:pPr>
      <w:widowControl w:val="0"/>
      <w:numPr>
        <w:ilvl w:val="4"/>
        <w:numId w:val="4"/>
      </w:numPr>
      <w:tabs>
        <w:tab w:val="left" w:pos="1008"/>
      </w:tabs>
      <w:suppressAutoHyphens/>
      <w:spacing w:before="240" w:after="60"/>
      <w:outlineLvl w:val="4"/>
    </w:pPr>
    <w:rPr>
      <w:b/>
      <w:bCs/>
      <w:i/>
      <w:iCs/>
      <w:sz w:val="26"/>
      <w:szCs w:val="26"/>
      <w:lang w:val="lv-LV" w:eastAsia="lv-LV"/>
    </w:rPr>
  </w:style>
  <w:style w:type="paragraph" w:customStyle="1" w:styleId="VRPrasiba">
    <w:name w:val="VR Prasiba"/>
    <w:basedOn w:val="Normal"/>
    <w:uiPriority w:val="99"/>
    <w:rsid w:val="006458C3"/>
    <w:pPr>
      <w:numPr>
        <w:numId w:val="4"/>
      </w:numPr>
      <w:tabs>
        <w:tab w:val="left" w:pos="510"/>
      </w:tabs>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val="lv-LV" w:eastAsia="lv-LV"/>
    </w:rPr>
  </w:style>
  <w:style w:type="paragraph" w:customStyle="1" w:styleId="S3">
    <w:name w:val="S3"/>
    <w:basedOn w:val="Normal"/>
    <w:rsid w:val="006458C3"/>
    <w:pPr>
      <w:numPr>
        <w:ilvl w:val="2"/>
        <w:numId w:val="4"/>
      </w:numPr>
      <w:spacing w:after="120"/>
    </w:pPr>
    <w:rPr>
      <w:lang w:val="lv-LV" w:eastAsia="en-US"/>
    </w:rPr>
  </w:style>
  <w:style w:type="paragraph" w:styleId="BodyText">
    <w:name w:val="Body Text"/>
    <w:basedOn w:val="Normal"/>
    <w:link w:val="BodyTextChar"/>
    <w:uiPriority w:val="99"/>
    <w:semiHidden/>
    <w:unhideWhenUsed/>
    <w:rsid w:val="007B0EA7"/>
    <w:pPr>
      <w:spacing w:after="120"/>
    </w:pPr>
  </w:style>
  <w:style w:type="character" w:customStyle="1" w:styleId="BodyTextChar">
    <w:name w:val="Body Text Char"/>
    <w:basedOn w:val="DefaultParagraphFont"/>
    <w:link w:val="BodyText"/>
    <w:uiPriority w:val="99"/>
    <w:semiHidden/>
    <w:rsid w:val="007B0EA7"/>
    <w:rPr>
      <w:rFonts w:ascii="Times New Roman" w:eastAsia="Times New Roman" w:hAnsi="Times New Roman" w:cs="Times New Roman"/>
      <w:sz w:val="24"/>
      <w:szCs w:val="24"/>
      <w:lang w:val="ru-RU" w:eastAsia="ru-RU"/>
    </w:rPr>
  </w:style>
  <w:style w:type="paragraph" w:styleId="NoSpacing">
    <w:name w:val="No Spacing"/>
    <w:qFormat/>
    <w:rsid w:val="00A603D1"/>
    <w:pPr>
      <w:suppressAutoHyphens/>
      <w:spacing w:after="0" w:line="240" w:lineRule="auto"/>
    </w:pPr>
    <w:rPr>
      <w:rFonts w:ascii="Times New Roman" w:eastAsia="Times New Roman" w:hAnsi="Times New Roman" w:cs="Times New Roman"/>
      <w:color w:val="00000A"/>
      <w:sz w:val="20"/>
      <w:szCs w:val="20"/>
      <w:lang w:eastAsia="zh-CN"/>
    </w:rPr>
  </w:style>
  <w:style w:type="paragraph" w:styleId="Header">
    <w:name w:val="header"/>
    <w:basedOn w:val="Normal"/>
    <w:link w:val="HeaderChar"/>
    <w:uiPriority w:val="99"/>
    <w:unhideWhenUsed/>
    <w:rsid w:val="00586F10"/>
    <w:pPr>
      <w:tabs>
        <w:tab w:val="center" w:pos="4153"/>
        <w:tab w:val="right" w:pos="8306"/>
      </w:tabs>
    </w:pPr>
  </w:style>
  <w:style w:type="character" w:customStyle="1" w:styleId="HeaderChar">
    <w:name w:val="Header Char"/>
    <w:basedOn w:val="DefaultParagraphFont"/>
    <w:link w:val="Header"/>
    <w:uiPriority w:val="99"/>
    <w:rsid w:val="00586F10"/>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586F10"/>
    <w:pPr>
      <w:tabs>
        <w:tab w:val="center" w:pos="4153"/>
        <w:tab w:val="right" w:pos="8306"/>
      </w:tabs>
    </w:pPr>
  </w:style>
  <w:style w:type="character" w:customStyle="1" w:styleId="FooterChar">
    <w:name w:val="Footer Char"/>
    <w:basedOn w:val="DefaultParagraphFont"/>
    <w:link w:val="Footer"/>
    <w:uiPriority w:val="99"/>
    <w:rsid w:val="00586F10"/>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8E17A0"/>
    <w:pPr>
      <w:spacing w:before="100" w:beforeAutospacing="1" w:after="100" w:afterAutospacing="1"/>
    </w:pPr>
    <w:rPr>
      <w:rFonts w:eastAsiaTheme="minorHAnsi"/>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6915">
      <w:bodyDiv w:val="1"/>
      <w:marLeft w:val="0"/>
      <w:marRight w:val="0"/>
      <w:marTop w:val="0"/>
      <w:marBottom w:val="0"/>
      <w:divBdr>
        <w:top w:val="none" w:sz="0" w:space="0" w:color="auto"/>
        <w:left w:val="none" w:sz="0" w:space="0" w:color="auto"/>
        <w:bottom w:val="none" w:sz="0" w:space="0" w:color="auto"/>
        <w:right w:val="none" w:sz="0" w:space="0" w:color="auto"/>
      </w:divBdr>
    </w:div>
    <w:div w:id="709763657">
      <w:bodyDiv w:val="1"/>
      <w:marLeft w:val="0"/>
      <w:marRight w:val="0"/>
      <w:marTop w:val="0"/>
      <w:marBottom w:val="0"/>
      <w:divBdr>
        <w:top w:val="none" w:sz="0" w:space="0" w:color="auto"/>
        <w:left w:val="none" w:sz="0" w:space="0" w:color="auto"/>
        <w:bottom w:val="none" w:sz="0" w:space="0" w:color="auto"/>
        <w:right w:val="none" w:sz="0" w:space="0" w:color="auto"/>
      </w:divBdr>
    </w:div>
    <w:div w:id="1113524017">
      <w:bodyDiv w:val="1"/>
      <w:marLeft w:val="0"/>
      <w:marRight w:val="0"/>
      <w:marTop w:val="0"/>
      <w:marBottom w:val="0"/>
      <w:divBdr>
        <w:top w:val="none" w:sz="0" w:space="0" w:color="auto"/>
        <w:left w:val="none" w:sz="0" w:space="0" w:color="auto"/>
        <w:bottom w:val="none" w:sz="0" w:space="0" w:color="auto"/>
        <w:right w:val="none" w:sz="0" w:space="0" w:color="auto"/>
      </w:divBdr>
    </w:div>
    <w:div w:id="1744375194">
      <w:bodyDiv w:val="1"/>
      <w:marLeft w:val="0"/>
      <w:marRight w:val="0"/>
      <w:marTop w:val="0"/>
      <w:marBottom w:val="0"/>
      <w:divBdr>
        <w:top w:val="none" w:sz="0" w:space="0" w:color="auto"/>
        <w:left w:val="none" w:sz="0" w:space="0" w:color="auto"/>
        <w:bottom w:val="none" w:sz="0" w:space="0" w:color="auto"/>
        <w:right w:val="none" w:sz="0" w:space="0" w:color="auto"/>
      </w:divBdr>
    </w:div>
    <w:div w:id="18755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lakizglitiba.lv/aktualitates/aktualita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akizglitiba.lv" TargetMode="External"/><Relationship Id="rId5" Type="http://schemas.openxmlformats.org/officeDocument/2006/relationships/webSettings" Target="webSettings.xml"/><Relationship Id="rId10" Type="http://schemas.openxmlformats.org/officeDocument/2006/relationships/hyperlink" Target="https://www.rsu.lv/esf-kursi" TargetMode="External"/><Relationship Id="rId4" Type="http://schemas.openxmlformats.org/officeDocument/2006/relationships/settings" Target="settings.xml"/><Relationship Id="rId9" Type="http://schemas.openxmlformats.org/officeDocument/2006/relationships/hyperlink" Target="https://www.mitto.me/rsu-macibu-programma/registre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819B-3FCC-4551-AE3F-361B9176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2854</Words>
  <Characters>1628</Characters>
  <Application>Microsoft Office Word</Application>
  <DocSecurity>4</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Anita Klāsone</cp:lastModifiedBy>
  <cp:revision>2</cp:revision>
  <cp:lastPrinted>2019-07-16T06:08:00Z</cp:lastPrinted>
  <dcterms:created xsi:type="dcterms:W3CDTF">2020-09-16T10:48:00Z</dcterms:created>
  <dcterms:modified xsi:type="dcterms:W3CDTF">2020-09-16T10:48:00Z</dcterms:modified>
</cp:coreProperties>
</file>